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Pr="00CB6D88" w:rsidRDefault="00353649" w:rsidP="00353649">
      <w:pPr>
        <w:pStyle w:val="ListParagraph"/>
        <w:numPr>
          <w:ilvl w:val="1"/>
          <w:numId w:val="2"/>
        </w:numPr>
        <w:rPr>
          <w:sz w:val="24"/>
          <w:szCs w:val="24"/>
          <w:highlight w:val="yellow"/>
        </w:rPr>
      </w:pPr>
      <w:r w:rsidRPr="00CB6D88">
        <w:rPr>
          <w:sz w:val="24"/>
          <w:szCs w:val="24"/>
          <w:highlight w:val="yellow"/>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Default="00353649" w:rsidP="00353649">
      <w:pPr>
        <w:pStyle w:val="ListParagraph"/>
        <w:numPr>
          <w:ilvl w:val="1"/>
          <w:numId w:val="2"/>
        </w:numPr>
        <w:rPr>
          <w:sz w:val="24"/>
          <w:szCs w:val="24"/>
        </w:rPr>
      </w:pPr>
      <w:r>
        <w:rPr>
          <w:sz w:val="24"/>
          <w:szCs w:val="24"/>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Pr="00CB6D88" w:rsidRDefault="00E70956" w:rsidP="00E70956">
      <w:pPr>
        <w:pStyle w:val="ListParagraph"/>
        <w:numPr>
          <w:ilvl w:val="1"/>
          <w:numId w:val="2"/>
        </w:numPr>
        <w:rPr>
          <w:sz w:val="24"/>
          <w:szCs w:val="24"/>
          <w:highlight w:val="yellow"/>
        </w:rPr>
      </w:pPr>
      <w:r w:rsidRPr="00CB6D88">
        <w:rPr>
          <w:sz w:val="24"/>
          <w:szCs w:val="24"/>
          <w:highlight w:val="yellow"/>
        </w:rPr>
        <w:t>There is little or no correlation between experience and teaching quality after the first year of teaching.</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CB6D88" w:rsidRDefault="00E70956" w:rsidP="00E70956">
      <w:pPr>
        <w:pStyle w:val="ListParagraph"/>
        <w:numPr>
          <w:ilvl w:val="1"/>
          <w:numId w:val="2"/>
        </w:numPr>
        <w:rPr>
          <w:sz w:val="24"/>
          <w:szCs w:val="24"/>
          <w:highlight w:val="yellow"/>
        </w:rPr>
      </w:pPr>
      <w:r w:rsidRPr="00CB6D88">
        <w:rPr>
          <w:sz w:val="24"/>
          <w:szCs w:val="24"/>
          <w:highlight w:val="yellow"/>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B64932" w:rsidRPr="00C05833" w:rsidRDefault="00E70956" w:rsidP="00C05833">
      <w:pPr>
        <w:rPr>
          <w:b/>
          <w:sz w:val="24"/>
          <w:szCs w:val="24"/>
          <w:u w:val="single"/>
        </w:rPr>
      </w:pPr>
      <w:r>
        <w:rPr>
          <w:b/>
          <w:sz w:val="24"/>
          <w:szCs w:val="24"/>
          <w:u w:val="single"/>
        </w:rPr>
        <w:t>Part 1:  Effective Teaching Matters</w:t>
      </w:r>
    </w:p>
    <w:p w:rsidR="00E70956" w:rsidRDefault="00B64932" w:rsidP="00B64932">
      <w:pPr>
        <w:pStyle w:val="ListParagraph"/>
        <w:numPr>
          <w:ilvl w:val="0"/>
          <w:numId w:val="4"/>
        </w:numPr>
        <w:rPr>
          <w:b/>
          <w:sz w:val="24"/>
          <w:szCs w:val="24"/>
        </w:rPr>
      </w:pPr>
      <w:r w:rsidRPr="00B64932">
        <w:rPr>
          <w:b/>
          <w:sz w:val="24"/>
          <w:szCs w:val="24"/>
        </w:rPr>
        <w:t>The biggest influence on student achievement and preparing them for life are committed, caring, and competent teachers.</w:t>
      </w:r>
    </w:p>
    <w:p w:rsidR="00B64932" w:rsidRDefault="00B64932" w:rsidP="00B64932">
      <w:pPr>
        <w:pStyle w:val="ListParagraph"/>
        <w:numPr>
          <w:ilvl w:val="0"/>
          <w:numId w:val="4"/>
        </w:numPr>
        <w:rPr>
          <w:b/>
          <w:sz w:val="24"/>
          <w:szCs w:val="24"/>
        </w:rPr>
      </w:pPr>
      <w:r>
        <w:rPr>
          <w:b/>
          <w:sz w:val="24"/>
          <w:szCs w:val="24"/>
        </w:rPr>
        <w:t>Teaching quality impacts all students regardless of their circumstances.</w:t>
      </w:r>
    </w:p>
    <w:p w:rsidR="00B64932" w:rsidRDefault="00B64932" w:rsidP="00B64932">
      <w:pPr>
        <w:pStyle w:val="ListParagraph"/>
        <w:numPr>
          <w:ilvl w:val="0"/>
          <w:numId w:val="4"/>
        </w:numPr>
        <w:rPr>
          <w:b/>
          <w:sz w:val="24"/>
          <w:szCs w:val="24"/>
        </w:rPr>
      </w:pPr>
      <w:r>
        <w:rPr>
          <w:b/>
          <w:sz w:val="24"/>
          <w:szCs w:val="24"/>
        </w:rPr>
        <w:t>Students who have ineffective teachers for three consecutive years score as much as 50% lower on achievement tests than those with effective teachers for three consecutive years.</w:t>
      </w:r>
    </w:p>
    <w:p w:rsidR="00B64932" w:rsidRDefault="00B64932" w:rsidP="00B64932">
      <w:pPr>
        <w:pStyle w:val="ListParagraph"/>
        <w:numPr>
          <w:ilvl w:val="0"/>
          <w:numId w:val="4"/>
        </w:numPr>
        <w:rPr>
          <w:b/>
          <w:sz w:val="24"/>
          <w:szCs w:val="24"/>
        </w:rPr>
      </w:pPr>
      <w:r>
        <w:rPr>
          <w:b/>
          <w:sz w:val="24"/>
          <w:szCs w:val="24"/>
        </w:rPr>
        <w:t>Students with the most accomplished teachers achieved at an even higher level than expected.</w:t>
      </w:r>
    </w:p>
    <w:p w:rsidR="00E70956" w:rsidRDefault="00B64932" w:rsidP="00353649">
      <w:pPr>
        <w:pStyle w:val="ListParagraph"/>
        <w:numPr>
          <w:ilvl w:val="0"/>
          <w:numId w:val="4"/>
        </w:numPr>
        <w:rPr>
          <w:b/>
          <w:sz w:val="24"/>
          <w:szCs w:val="24"/>
        </w:rPr>
      </w:pPr>
      <w:r>
        <w:rPr>
          <w:b/>
          <w:sz w:val="24"/>
          <w:szCs w:val="24"/>
        </w:rPr>
        <w:t xml:space="preserve">Teachers who know a lot about teaching and learning and who work in supportive school environments can overcome many of the conditions outside of </w:t>
      </w:r>
      <w:proofErr w:type="gramStart"/>
      <w:r>
        <w:rPr>
          <w:b/>
          <w:sz w:val="24"/>
          <w:szCs w:val="24"/>
        </w:rPr>
        <w:t>school  that</w:t>
      </w:r>
      <w:proofErr w:type="gramEnd"/>
      <w:r>
        <w:rPr>
          <w:b/>
          <w:sz w:val="24"/>
          <w:szCs w:val="24"/>
        </w:rPr>
        <w:t xml:space="preserve"> often impair student success.</w:t>
      </w:r>
    </w:p>
    <w:p w:rsidR="00C05833" w:rsidRPr="00B64932" w:rsidRDefault="00C05833" w:rsidP="00353649">
      <w:pPr>
        <w:pStyle w:val="ListParagraph"/>
        <w:numPr>
          <w:ilvl w:val="0"/>
          <w:numId w:val="4"/>
        </w:numPr>
        <w:rPr>
          <w:b/>
          <w:sz w:val="24"/>
          <w:szCs w:val="24"/>
        </w:rPr>
      </w:pPr>
      <w:r>
        <w:rPr>
          <w:b/>
          <w:sz w:val="24"/>
          <w:szCs w:val="24"/>
        </w:rPr>
        <w:t xml:space="preserve">A school must have teachers who continually work on and improve their own knowledge and expertise in content, current teaching strategies, and assessment for student success </w:t>
      </w:r>
    </w:p>
    <w:p w:rsidR="00E70956" w:rsidRDefault="00E70956"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E70956" w:rsidRDefault="008F2240" w:rsidP="00353649">
      <w:pPr>
        <w:rPr>
          <w:b/>
          <w:sz w:val="24"/>
          <w:szCs w:val="24"/>
        </w:rPr>
      </w:pPr>
      <w:r>
        <w:rPr>
          <w:b/>
          <w:sz w:val="24"/>
          <w:szCs w:val="24"/>
        </w:rPr>
        <w:t>Media impact student achievement</w:t>
      </w:r>
    </w:p>
    <w:p w:rsidR="008F2240" w:rsidRDefault="008F2240" w:rsidP="00353649">
      <w:pPr>
        <w:rPr>
          <w:b/>
          <w:sz w:val="24"/>
          <w:szCs w:val="24"/>
        </w:rPr>
      </w:pPr>
      <w:r>
        <w:rPr>
          <w:b/>
          <w:sz w:val="24"/>
          <w:szCs w:val="24"/>
        </w:rPr>
        <w:t xml:space="preserve">Teachers must spend more time in professional learning </w:t>
      </w:r>
    </w:p>
    <w:p w:rsidR="008F2240" w:rsidRDefault="008F2240" w:rsidP="00353649">
      <w:pPr>
        <w:rPr>
          <w:b/>
          <w:sz w:val="24"/>
          <w:szCs w:val="24"/>
        </w:rPr>
      </w:pPr>
      <w:r>
        <w:rPr>
          <w:b/>
          <w:sz w:val="24"/>
          <w:szCs w:val="24"/>
        </w:rPr>
        <w:t>Teachers must engage in collaboration and on-the-job learning in a climate that supports professional growth</w:t>
      </w:r>
    </w:p>
    <w:p w:rsidR="008F2240" w:rsidRPr="00A8171C" w:rsidRDefault="008F2240" w:rsidP="00353649">
      <w:pPr>
        <w:rPr>
          <w:b/>
          <w:sz w:val="24"/>
          <w:szCs w:val="24"/>
        </w:rPr>
      </w:pPr>
      <w:r>
        <w:rPr>
          <w:b/>
          <w:sz w:val="24"/>
          <w:szCs w:val="24"/>
        </w:rPr>
        <w:t>Teachers learning must be ongoing, integrated with their daily work, and must maintain momentum over time</w:t>
      </w:r>
      <w:r w:rsidR="00A8171C">
        <w:rPr>
          <w:b/>
          <w:sz w:val="24"/>
          <w:szCs w:val="24"/>
        </w:rPr>
        <w:t>.</w:t>
      </w:r>
    </w:p>
    <w:p w:rsidR="001115A8" w:rsidRPr="008F2240" w:rsidRDefault="00E70956" w:rsidP="00353649">
      <w:pPr>
        <w:rPr>
          <w:b/>
          <w:sz w:val="24"/>
          <w:szCs w:val="24"/>
          <w:u w:val="single"/>
        </w:rPr>
      </w:pPr>
      <w:r>
        <w:rPr>
          <w:b/>
          <w:sz w:val="24"/>
          <w:szCs w:val="24"/>
          <w:u w:val="single"/>
        </w:rPr>
        <w:t>Part 3:  Collaborative Team Learning Works</w:t>
      </w:r>
    </w:p>
    <w:p w:rsidR="001115A8" w:rsidRPr="00A8171C" w:rsidRDefault="00A8171C" w:rsidP="00353649">
      <w:pPr>
        <w:rPr>
          <w:b/>
          <w:sz w:val="24"/>
          <w:szCs w:val="24"/>
        </w:rPr>
      </w:pPr>
      <w:r w:rsidRPr="00A8171C">
        <w:rPr>
          <w:b/>
          <w:sz w:val="24"/>
          <w:szCs w:val="24"/>
        </w:rPr>
        <w:t>Working in teams provides a logical way to support and extend the training teachers gain through workshops and seminars.</w:t>
      </w:r>
    </w:p>
    <w:p w:rsidR="00A8171C" w:rsidRPr="00A8171C" w:rsidRDefault="00A8171C" w:rsidP="00353649">
      <w:pPr>
        <w:rPr>
          <w:b/>
          <w:sz w:val="24"/>
          <w:szCs w:val="24"/>
        </w:rPr>
      </w:pPr>
      <w:r w:rsidRPr="00A8171C">
        <w:rPr>
          <w:b/>
          <w:sz w:val="24"/>
          <w:szCs w:val="24"/>
        </w:rPr>
        <w:t>Collaborative team learning is more effective for teacher and student learning and performance.</w:t>
      </w:r>
    </w:p>
    <w:p w:rsidR="008F2240" w:rsidRPr="00A8171C" w:rsidRDefault="00A8171C" w:rsidP="00353649">
      <w:pPr>
        <w:rPr>
          <w:b/>
          <w:sz w:val="24"/>
          <w:szCs w:val="24"/>
        </w:rPr>
      </w:pPr>
      <w:r w:rsidRPr="00A8171C">
        <w:rPr>
          <w:b/>
          <w:sz w:val="24"/>
          <w:szCs w:val="24"/>
        </w:rPr>
        <w:t>Influences that support teacher</w:t>
      </w:r>
      <w:r>
        <w:rPr>
          <w:b/>
          <w:sz w:val="24"/>
          <w:szCs w:val="24"/>
        </w:rPr>
        <w:t xml:space="preserve"> team</w:t>
      </w:r>
      <w:r w:rsidRPr="00A8171C">
        <w:rPr>
          <w:b/>
          <w:sz w:val="24"/>
          <w:szCs w:val="24"/>
        </w:rPr>
        <w:t xml:space="preserve"> collaboration are the team’s desire for accomplishment, members’ understandings of the purpose of the collaboration, the clarity of the goals and focus, and the school conditions in which teachers work. </w:t>
      </w:r>
    </w:p>
    <w:p w:rsidR="008F2240" w:rsidRDefault="008F2240" w:rsidP="00353649">
      <w:pPr>
        <w:rPr>
          <w:b/>
          <w:sz w:val="28"/>
          <w:szCs w:val="28"/>
        </w:rPr>
      </w:pPr>
    </w:p>
    <w:p w:rsidR="00A8171C" w:rsidRDefault="00A8171C" w:rsidP="00353649">
      <w:pPr>
        <w:rPr>
          <w:b/>
          <w:sz w:val="28"/>
          <w:szCs w:val="28"/>
        </w:rPr>
      </w:pPr>
    </w:p>
    <w:p w:rsidR="00A8171C" w:rsidRDefault="00A8171C" w:rsidP="00353649">
      <w:pPr>
        <w:rPr>
          <w:b/>
          <w:sz w:val="28"/>
          <w:szCs w:val="28"/>
        </w:rPr>
      </w:pPr>
    </w:p>
    <w:p w:rsidR="001115A8" w:rsidRDefault="001115A8" w:rsidP="00353649">
      <w:pPr>
        <w:rPr>
          <w:b/>
          <w:sz w:val="28"/>
          <w:szCs w:val="28"/>
        </w:rPr>
      </w:pPr>
      <w:r>
        <w:rPr>
          <w:b/>
          <w:sz w:val="28"/>
          <w:szCs w:val="28"/>
        </w:rPr>
        <w:lastRenderedPageBreak/>
        <w:t>Tool 9.2:  Pre/post survey</w:t>
      </w:r>
    </w:p>
    <w:p w:rsidR="001115A8" w:rsidRDefault="001115A8" w:rsidP="00353649">
      <w:pPr>
        <w:rPr>
          <w:sz w:val="24"/>
          <w:szCs w:val="24"/>
        </w:rPr>
      </w:pPr>
      <w:r>
        <w:rPr>
          <w:b/>
          <w:sz w:val="24"/>
          <w:szCs w:val="24"/>
        </w:rPr>
        <w:t xml:space="preserve">Directions: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w:t>
            </w:r>
            <w:r w:rsidRPr="00F13FE0">
              <w:rPr>
                <w:b/>
                <w:sz w:val="32"/>
                <w:szCs w:val="32"/>
                <w:highlight w:val="yellow"/>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F13FE0">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F13FE0">
              <w:rPr>
                <w:b/>
                <w:sz w:val="32"/>
                <w:szCs w:val="32"/>
                <w:highlight w:val="yellow"/>
              </w:rPr>
              <w:t>4</w:t>
            </w:r>
          </w:p>
          <w:p w:rsidR="000400FF" w:rsidRPr="00600B36" w:rsidRDefault="000400FF" w:rsidP="00AD0625">
            <w:pPr>
              <w:spacing w:after="0" w:line="240" w:lineRule="auto"/>
              <w:jc w:val="center"/>
              <w:rPr>
                <w:b/>
                <w:sz w:val="16"/>
                <w:szCs w:val="16"/>
              </w:rPr>
            </w:pPr>
          </w:p>
        </w:tc>
      </w:tr>
    </w:tbl>
    <w:p w:rsidR="001115A8" w:rsidRPr="001115A8" w:rsidRDefault="001115A8" w:rsidP="008F2240">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2F3679"/>
    <w:multiLevelType w:val="hybridMultilevel"/>
    <w:tmpl w:val="1A7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400FF"/>
    <w:rsid w:val="000C0E7E"/>
    <w:rsid w:val="001115A8"/>
    <w:rsid w:val="001620F7"/>
    <w:rsid w:val="001E3153"/>
    <w:rsid w:val="00221641"/>
    <w:rsid w:val="00252B6B"/>
    <w:rsid w:val="00284490"/>
    <w:rsid w:val="00353649"/>
    <w:rsid w:val="003E6CA3"/>
    <w:rsid w:val="0043659C"/>
    <w:rsid w:val="00530B77"/>
    <w:rsid w:val="005C5610"/>
    <w:rsid w:val="005E2AC2"/>
    <w:rsid w:val="005F3EA4"/>
    <w:rsid w:val="00600B36"/>
    <w:rsid w:val="007F4E4A"/>
    <w:rsid w:val="00806A5A"/>
    <w:rsid w:val="008F2240"/>
    <w:rsid w:val="0091399D"/>
    <w:rsid w:val="0093429F"/>
    <w:rsid w:val="00A74534"/>
    <w:rsid w:val="00A8171C"/>
    <w:rsid w:val="00AD0625"/>
    <w:rsid w:val="00B64932"/>
    <w:rsid w:val="00BA1F00"/>
    <w:rsid w:val="00C05833"/>
    <w:rsid w:val="00C46878"/>
    <w:rsid w:val="00CB6D88"/>
    <w:rsid w:val="00D24806"/>
    <w:rsid w:val="00D32316"/>
    <w:rsid w:val="00DA20B2"/>
    <w:rsid w:val="00DF2097"/>
    <w:rsid w:val="00E70956"/>
    <w:rsid w:val="00EC0CCC"/>
    <w:rsid w:val="00EC7369"/>
    <w:rsid w:val="00F13FE0"/>
    <w:rsid w:val="00F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11BC2-870D-4E29-A85D-4A3BBF951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rbetts</dc:creator>
  <cp:keywords/>
  <cp:lastModifiedBy>virginia.browder</cp:lastModifiedBy>
  <cp:revision>2</cp:revision>
  <dcterms:created xsi:type="dcterms:W3CDTF">2010-11-18T19:46:00Z</dcterms:created>
  <dcterms:modified xsi:type="dcterms:W3CDTF">2010-11-18T19:46:00Z</dcterms:modified>
</cp:coreProperties>
</file>